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9311" w14:textId="58EA10D8" w:rsidR="001440DA" w:rsidRPr="00D90081" w:rsidRDefault="00D90081" w:rsidP="001440DA">
      <w:pPr>
        <w:pStyle w:val="NoSpacing"/>
        <w:rPr>
          <w:b/>
          <w:bCs/>
        </w:rPr>
      </w:pPr>
      <w:r w:rsidRPr="00D90081">
        <w:rPr>
          <w:b/>
          <w:bCs/>
        </w:rPr>
        <w:t>Rotation Name:</w:t>
      </w:r>
      <w:r w:rsidR="000F7936">
        <w:rPr>
          <w:b/>
          <w:bCs/>
        </w:rPr>
        <w:t xml:space="preserve"> Hypertension and Autonomics Consults </w:t>
      </w:r>
    </w:p>
    <w:p w14:paraId="5A9DDB60" w14:textId="0C6DADAC" w:rsidR="00D90081" w:rsidRDefault="00D90081" w:rsidP="001440DA">
      <w:pPr>
        <w:pStyle w:val="NoSpacing"/>
        <w:rPr>
          <w:b/>
          <w:bCs/>
        </w:rPr>
      </w:pPr>
      <w:r w:rsidRPr="00D90081">
        <w:rPr>
          <w:b/>
          <w:bCs/>
        </w:rPr>
        <w:t>Rotation Site Leader:</w:t>
      </w:r>
    </w:p>
    <w:p w14:paraId="66AC5F52" w14:textId="6BA2DB8D" w:rsidR="008E3FD4" w:rsidRPr="00D90081" w:rsidRDefault="008E3FD4" w:rsidP="001440DA">
      <w:pPr>
        <w:pStyle w:val="NoSpacing"/>
        <w:rPr>
          <w:b/>
          <w:bCs/>
        </w:rPr>
      </w:pPr>
      <w:r>
        <w:rPr>
          <w:b/>
          <w:bCs/>
        </w:rPr>
        <w:t>Updated by:</w:t>
      </w:r>
      <w:r w:rsidR="000F7936">
        <w:rPr>
          <w:b/>
          <w:bCs/>
        </w:rPr>
        <w:t xml:space="preserve"> Trey Richardson</w:t>
      </w:r>
    </w:p>
    <w:p w14:paraId="06C92F18" w14:textId="549FC8B0" w:rsidR="00D90081" w:rsidRPr="00D90081" w:rsidRDefault="00D90081" w:rsidP="001440DA">
      <w:pPr>
        <w:pStyle w:val="NoSpacing"/>
        <w:rPr>
          <w:b/>
          <w:bCs/>
        </w:rPr>
      </w:pPr>
      <w:r w:rsidRPr="00D90081">
        <w:rPr>
          <w:b/>
          <w:bCs/>
        </w:rPr>
        <w:t>Date:</w:t>
      </w:r>
      <w:r w:rsidR="000F7936">
        <w:rPr>
          <w:b/>
          <w:bCs/>
        </w:rPr>
        <w:t xml:space="preserve"> 2/</w:t>
      </w:r>
      <w:r w:rsidR="000C1F1F">
        <w:rPr>
          <w:b/>
          <w:bCs/>
        </w:rPr>
        <w:t>10</w:t>
      </w:r>
      <w:r w:rsidR="000F7936">
        <w:rPr>
          <w:b/>
          <w:bCs/>
        </w:rPr>
        <w:t>/2022</w:t>
      </w:r>
    </w:p>
    <w:p w14:paraId="67191185" w14:textId="47C21320" w:rsidR="00D90081" w:rsidRDefault="00D90081" w:rsidP="001440DA">
      <w:pPr>
        <w:pStyle w:val="NoSpacing"/>
      </w:pPr>
    </w:p>
    <w:p w14:paraId="7B649D78" w14:textId="629FAA4C" w:rsidR="00D90081" w:rsidRPr="00D90081" w:rsidRDefault="00D90081" w:rsidP="001440DA">
      <w:pPr>
        <w:pStyle w:val="NoSpacing"/>
        <w:rPr>
          <w:b/>
          <w:bCs/>
          <w:u w:val="single"/>
        </w:rPr>
      </w:pPr>
      <w:r w:rsidRPr="00D90081">
        <w:rPr>
          <w:b/>
          <w:bCs/>
          <w:u w:val="single"/>
        </w:rPr>
        <w:t>Goal:</w:t>
      </w:r>
    </w:p>
    <w:p w14:paraId="2255049F" w14:textId="3F5408C1" w:rsidR="00D90081" w:rsidRDefault="007F0FED" w:rsidP="001440DA">
      <w:pPr>
        <w:pStyle w:val="NoSpacing"/>
      </w:pPr>
      <w:r w:rsidRPr="007F0FED">
        <w:t xml:space="preserve">As many as 50 million Americans have stage 1 hypertension (systolic </w:t>
      </w:r>
      <w:r>
        <w:t xml:space="preserve">blood </w:t>
      </w:r>
      <w:r w:rsidRPr="007F0FED">
        <w:t>pressure 130 mmHg or greater and/or diastolic blood pressure 80 mmHg or greater) or higher or are taking antihypertensive medication. Hypertension leads to end organ dysfunction. This manifests as nonfatal and fatal cardiovascular disease (CVD)- including coronary heart disease (CHD) and stroke- as well as kidney disease. The prevalence of hypertension mediated organ dysfunction increases progressively with higher levels of both systolic (SBP) and diastolic (DBP) blood pressure levels. These relationships are strong, continuous, independent, predictive, and etiologically significant, and indicate that reduction of blood pressure reduces these risks.</w:t>
      </w:r>
      <w:r>
        <w:t xml:space="preserve"> </w:t>
      </w:r>
      <w:r w:rsidR="00D90081">
        <w:t>The purpose of this educational unit is to</w:t>
      </w:r>
      <w:r w:rsidR="000F7936">
        <w:t xml:space="preserve"> enhance medical trainees’ knowledge and understanding of hypertension and its end organ effects and to provide a framework for the management of both hypertension and autonomic dysfunction. </w:t>
      </w:r>
    </w:p>
    <w:p w14:paraId="015F32C3" w14:textId="3C2B06A8" w:rsidR="00D90081" w:rsidRDefault="00D90081" w:rsidP="001440DA">
      <w:pPr>
        <w:pStyle w:val="NoSpacing"/>
      </w:pPr>
    </w:p>
    <w:p w14:paraId="47DA3401" w14:textId="15E09FDE" w:rsidR="00D90081" w:rsidRPr="007F0FED" w:rsidRDefault="00D90081" w:rsidP="001440DA">
      <w:pPr>
        <w:pStyle w:val="NoSpacing"/>
        <w:rPr>
          <w:b/>
          <w:bCs/>
          <w:u w:val="single"/>
        </w:rPr>
      </w:pPr>
      <w:r w:rsidRPr="00D90081">
        <w:rPr>
          <w:b/>
          <w:bCs/>
          <w:u w:val="single"/>
        </w:rPr>
        <w:t>Objectives:</w:t>
      </w:r>
    </w:p>
    <w:p w14:paraId="2FDF3D03" w14:textId="34F409D5" w:rsidR="000F7936" w:rsidRDefault="00D90081" w:rsidP="001440DA">
      <w:pPr>
        <w:pStyle w:val="NoSpacing"/>
      </w:pPr>
      <w:r>
        <w:t xml:space="preserve">By the end of this educational block, learners </w:t>
      </w:r>
      <w:r w:rsidR="000F7936">
        <w:t>o</w:t>
      </w:r>
      <w:r>
        <w:t>n this rotation will be able to:</w:t>
      </w:r>
    </w:p>
    <w:p w14:paraId="4CE05442" w14:textId="337BF632" w:rsidR="000F7936" w:rsidRDefault="000F7936" w:rsidP="000F7936">
      <w:pPr>
        <w:pStyle w:val="NoSpacing"/>
        <w:numPr>
          <w:ilvl w:val="0"/>
          <w:numId w:val="8"/>
        </w:numPr>
      </w:pPr>
      <w:r>
        <w:t>Describe the pathophysiology of both essential hypertension as well as the most common forms of resistant/secondary hypertension</w:t>
      </w:r>
      <w:r w:rsidR="0068351F">
        <w:t xml:space="preserve"> (Medical Knowledge)</w:t>
      </w:r>
      <w:r>
        <w:t xml:space="preserve">. </w:t>
      </w:r>
    </w:p>
    <w:p w14:paraId="08DFAAE3" w14:textId="66F129E0" w:rsidR="000F7936" w:rsidRDefault="000F7936" w:rsidP="000F7936">
      <w:pPr>
        <w:pStyle w:val="NoSpacing"/>
        <w:numPr>
          <w:ilvl w:val="0"/>
          <w:numId w:val="8"/>
        </w:numPr>
      </w:pPr>
      <w:r>
        <w:t>Diagnose hypertension using the JNC-8 criteria based off of:</w:t>
      </w:r>
    </w:p>
    <w:p w14:paraId="031E0A6D" w14:textId="70319516" w:rsidR="000F7936" w:rsidRDefault="000F7936" w:rsidP="000F7936">
      <w:pPr>
        <w:pStyle w:val="NoSpacing"/>
        <w:numPr>
          <w:ilvl w:val="1"/>
          <w:numId w:val="8"/>
        </w:numPr>
      </w:pPr>
      <w:r>
        <w:t>Consecutive in-office blood pressures</w:t>
      </w:r>
    </w:p>
    <w:p w14:paraId="55AF3AFE" w14:textId="438C1168" w:rsidR="000F7936" w:rsidRDefault="000F7936" w:rsidP="000F7936">
      <w:pPr>
        <w:pStyle w:val="NoSpacing"/>
        <w:numPr>
          <w:ilvl w:val="1"/>
          <w:numId w:val="8"/>
        </w:numPr>
      </w:pPr>
      <w:r>
        <w:t xml:space="preserve">Review of ambulatory blood pressure monitoring </w:t>
      </w:r>
      <w:r w:rsidR="0068351F">
        <w:t>or home-based blood pressure monitoring (Patient Care)</w:t>
      </w:r>
    </w:p>
    <w:p w14:paraId="35DC18FE" w14:textId="76988B26" w:rsidR="000F7936" w:rsidRDefault="000F7936" w:rsidP="000F7936">
      <w:pPr>
        <w:pStyle w:val="NoSpacing"/>
        <w:numPr>
          <w:ilvl w:val="0"/>
          <w:numId w:val="8"/>
        </w:numPr>
      </w:pPr>
      <w:r>
        <w:t>Develop an individualized hypertension treatment plan composed of:</w:t>
      </w:r>
    </w:p>
    <w:p w14:paraId="551F3461" w14:textId="288138D1" w:rsidR="000F7936" w:rsidRDefault="000F7936" w:rsidP="000F7936">
      <w:pPr>
        <w:pStyle w:val="NoSpacing"/>
        <w:numPr>
          <w:ilvl w:val="1"/>
          <w:numId w:val="8"/>
        </w:numPr>
      </w:pPr>
      <w:r>
        <w:t xml:space="preserve">Diet and lifestyle modification including but not limited to: </w:t>
      </w:r>
      <w:r w:rsidR="007F0FED">
        <w:t xml:space="preserve">weight loss, smoking cessation, moderation of alcohol intake, </w:t>
      </w:r>
      <w:r>
        <w:t>sodium restriction, DASH diet, and regular aerobic exercise.</w:t>
      </w:r>
    </w:p>
    <w:p w14:paraId="165B11A6" w14:textId="078E2ED8" w:rsidR="000F7936" w:rsidRDefault="000F7936" w:rsidP="000F7936">
      <w:pPr>
        <w:pStyle w:val="NoSpacing"/>
        <w:numPr>
          <w:ilvl w:val="1"/>
          <w:numId w:val="8"/>
        </w:numPr>
      </w:pPr>
      <w:r>
        <w:t>Tailoring pharmacologic interventions based on</w:t>
      </w:r>
      <w:r w:rsidR="00A93BC0">
        <w:t xml:space="preserve"> </w:t>
      </w:r>
      <w:r w:rsidR="00466276">
        <w:t xml:space="preserve">age, life-expectancy, functional status, </w:t>
      </w:r>
      <w:r w:rsidR="00A93BC0">
        <w:t>ASCVD risk, medical comorbidities</w:t>
      </w:r>
      <w:r w:rsidR="000F13B0">
        <w:t xml:space="preserve"> (e.g. heart failure, ischemic heart disease, </w:t>
      </w:r>
      <w:r w:rsidR="002D3EFE">
        <w:t>chronic kidney disease, cerebrovascular disease)</w:t>
      </w:r>
      <w:r w:rsidR="00A93BC0">
        <w:t>, and</w:t>
      </w:r>
      <w:r>
        <w:t xml:space="preserve"> </w:t>
      </w:r>
      <w:r w:rsidR="00A93BC0">
        <w:t xml:space="preserve">interval </w:t>
      </w:r>
      <w:r>
        <w:t>blood pressure readings between follow up visits</w:t>
      </w:r>
      <w:r w:rsidR="0068351F">
        <w:t xml:space="preserve"> (Patient Care)</w:t>
      </w:r>
    </w:p>
    <w:p w14:paraId="142D3FA6" w14:textId="41CF39FD" w:rsidR="000F7936" w:rsidRDefault="000F7936" w:rsidP="000F7936">
      <w:pPr>
        <w:pStyle w:val="NoSpacing"/>
        <w:numPr>
          <w:ilvl w:val="0"/>
          <w:numId w:val="8"/>
        </w:numPr>
      </w:pPr>
      <w:r>
        <w:t xml:space="preserve">Participate in shared </w:t>
      </w:r>
      <w:r w:rsidR="00F952E5">
        <w:t>decision-making</w:t>
      </w:r>
      <w:r>
        <w:t xml:space="preserve"> </w:t>
      </w:r>
      <w:r w:rsidR="00F952E5">
        <w:t>considering goals and preferences when developing an individualized hypertension treatment plan</w:t>
      </w:r>
      <w:r w:rsidR="0068351F">
        <w:t xml:space="preserve"> (Patient Care and Interpersonal Communication)</w:t>
      </w:r>
      <w:r w:rsidR="00F952E5">
        <w:t xml:space="preserve">. </w:t>
      </w:r>
    </w:p>
    <w:p w14:paraId="098690B2" w14:textId="38211FB9" w:rsidR="001E26D8" w:rsidRDefault="001E26D8" w:rsidP="000F7936">
      <w:pPr>
        <w:pStyle w:val="NoSpacing"/>
        <w:numPr>
          <w:ilvl w:val="0"/>
          <w:numId w:val="8"/>
        </w:numPr>
      </w:pPr>
      <w:r>
        <w:t xml:space="preserve">Recognize areas where consultation with pharmacy, </w:t>
      </w:r>
      <w:r w:rsidR="007F0FED">
        <w:t>outreach programs, or medical subspecialties may be warranted</w:t>
      </w:r>
      <w:r w:rsidR="0068351F">
        <w:t xml:space="preserve"> (Systems based practice)</w:t>
      </w:r>
      <w:r w:rsidR="007F0FED">
        <w:t xml:space="preserve">. </w:t>
      </w:r>
    </w:p>
    <w:p w14:paraId="5641D94C" w14:textId="21D66653" w:rsidR="000F7936" w:rsidRDefault="000F7936" w:rsidP="000F7936">
      <w:pPr>
        <w:pStyle w:val="NoSpacing"/>
        <w:numPr>
          <w:ilvl w:val="0"/>
          <w:numId w:val="8"/>
        </w:numPr>
      </w:pPr>
      <w:r>
        <w:t xml:space="preserve">Explain the mechanism of action and end-organ protective effects of the </w:t>
      </w:r>
      <w:r w:rsidR="00A13124">
        <w:t>preferred</w:t>
      </w:r>
      <w:r>
        <w:t xml:space="preserve"> classes of anti-hypertension therapies including:</w:t>
      </w:r>
    </w:p>
    <w:p w14:paraId="6987608C" w14:textId="08FB3385" w:rsidR="000F7936" w:rsidRDefault="000F7936" w:rsidP="000F7936">
      <w:pPr>
        <w:pStyle w:val="NoSpacing"/>
        <w:numPr>
          <w:ilvl w:val="1"/>
          <w:numId w:val="8"/>
        </w:numPr>
      </w:pPr>
      <w:r>
        <w:t>Angiotensin converting enzyme inhibitors</w:t>
      </w:r>
    </w:p>
    <w:p w14:paraId="27F43DC6" w14:textId="0A5A17A6" w:rsidR="000F7936" w:rsidRDefault="000F7936" w:rsidP="000F7936">
      <w:pPr>
        <w:pStyle w:val="NoSpacing"/>
        <w:numPr>
          <w:ilvl w:val="1"/>
          <w:numId w:val="8"/>
        </w:numPr>
      </w:pPr>
      <w:r>
        <w:t>Angiotensin receptor blockers</w:t>
      </w:r>
    </w:p>
    <w:p w14:paraId="74B24687" w14:textId="50F0C70D" w:rsidR="000F7936" w:rsidRDefault="000F7936" w:rsidP="000F7936">
      <w:pPr>
        <w:pStyle w:val="NoSpacing"/>
        <w:numPr>
          <w:ilvl w:val="1"/>
          <w:numId w:val="8"/>
        </w:numPr>
      </w:pPr>
      <w:r>
        <w:t xml:space="preserve">Dihydropyridine calcium channel blockers </w:t>
      </w:r>
    </w:p>
    <w:p w14:paraId="6D1A85F4" w14:textId="0C6A3F6C" w:rsidR="000F7936" w:rsidRDefault="000F7936" w:rsidP="00F952E5">
      <w:pPr>
        <w:pStyle w:val="NoSpacing"/>
        <w:numPr>
          <w:ilvl w:val="1"/>
          <w:numId w:val="8"/>
        </w:numPr>
      </w:pPr>
      <w:r>
        <w:t xml:space="preserve">Thiazide diuretics </w:t>
      </w:r>
      <w:r w:rsidR="0068351F">
        <w:t>(Medical Knowledge)</w:t>
      </w:r>
    </w:p>
    <w:p w14:paraId="630FD4B2" w14:textId="025BB4E9" w:rsidR="0068351F" w:rsidRDefault="0068351F" w:rsidP="0068351F">
      <w:pPr>
        <w:pStyle w:val="NoSpacing"/>
        <w:numPr>
          <w:ilvl w:val="0"/>
          <w:numId w:val="8"/>
        </w:numPr>
      </w:pPr>
      <w:r>
        <w:t>Diagnose and evaluate for the causes of resistant hypertension including:</w:t>
      </w:r>
    </w:p>
    <w:p w14:paraId="2B07B086" w14:textId="7BA9B59E" w:rsidR="0068351F" w:rsidRDefault="0068351F" w:rsidP="0068351F">
      <w:pPr>
        <w:pStyle w:val="NoSpacing"/>
        <w:numPr>
          <w:ilvl w:val="1"/>
          <w:numId w:val="8"/>
        </w:numPr>
      </w:pPr>
      <w:r>
        <w:t>Obstructive sleep apnea</w:t>
      </w:r>
    </w:p>
    <w:p w14:paraId="38A95C9E" w14:textId="2A436339" w:rsidR="0068351F" w:rsidRDefault="0068351F" w:rsidP="0068351F">
      <w:pPr>
        <w:pStyle w:val="NoSpacing"/>
        <w:numPr>
          <w:ilvl w:val="1"/>
          <w:numId w:val="8"/>
        </w:numPr>
      </w:pPr>
      <w:r>
        <w:t>Hyperaldosteronism</w:t>
      </w:r>
    </w:p>
    <w:p w14:paraId="764241D8" w14:textId="77643535" w:rsidR="0068351F" w:rsidRDefault="0068351F" w:rsidP="0068351F">
      <w:pPr>
        <w:pStyle w:val="NoSpacing"/>
        <w:numPr>
          <w:ilvl w:val="1"/>
          <w:numId w:val="8"/>
        </w:numPr>
      </w:pPr>
      <w:r>
        <w:t>Renal artery stenosis</w:t>
      </w:r>
    </w:p>
    <w:p w14:paraId="5A5A21E6" w14:textId="36D80BBD" w:rsidR="0068351F" w:rsidRDefault="0068351F" w:rsidP="0068351F">
      <w:pPr>
        <w:pStyle w:val="NoSpacing"/>
        <w:numPr>
          <w:ilvl w:val="1"/>
          <w:numId w:val="8"/>
        </w:numPr>
      </w:pPr>
      <w:r>
        <w:t>Renal parenchymal disease</w:t>
      </w:r>
    </w:p>
    <w:p w14:paraId="25508D6C" w14:textId="25633717" w:rsidR="0068351F" w:rsidRDefault="0068351F" w:rsidP="0068351F">
      <w:pPr>
        <w:pStyle w:val="NoSpacing"/>
        <w:numPr>
          <w:ilvl w:val="1"/>
          <w:numId w:val="8"/>
        </w:numPr>
      </w:pPr>
      <w:r>
        <w:t>Cushing’s syndrome</w:t>
      </w:r>
    </w:p>
    <w:p w14:paraId="6A453CED" w14:textId="4E127CBD" w:rsidR="0068351F" w:rsidRDefault="0068351F" w:rsidP="0068351F">
      <w:pPr>
        <w:pStyle w:val="NoSpacing"/>
        <w:numPr>
          <w:ilvl w:val="1"/>
          <w:numId w:val="8"/>
        </w:numPr>
      </w:pPr>
      <w:r>
        <w:lastRenderedPageBreak/>
        <w:t xml:space="preserve">Pheochromocytoma </w:t>
      </w:r>
    </w:p>
    <w:p w14:paraId="21A9ADFB" w14:textId="4BF483A4" w:rsidR="00A13124" w:rsidRDefault="00A13124" w:rsidP="00A13124">
      <w:pPr>
        <w:pStyle w:val="NoSpacing"/>
        <w:numPr>
          <w:ilvl w:val="0"/>
          <w:numId w:val="8"/>
        </w:numPr>
      </w:pPr>
      <w:r>
        <w:t>Recognize the role that alternative agents such as loop diuretics, beta blockers, potassium sparing diuretics, mineralocorticoid receptor antagonists, hydralazine, minoxidil, and alpha blockers</w:t>
      </w:r>
      <w:r w:rsidR="007C563B">
        <w:t xml:space="preserve"> (both central and peripheral)</w:t>
      </w:r>
      <w:r>
        <w:t xml:space="preserve"> play in treating </w:t>
      </w:r>
      <w:r w:rsidR="00543A28">
        <w:t xml:space="preserve">resistant </w:t>
      </w:r>
      <w:r>
        <w:t>hypertension</w:t>
      </w:r>
      <w:r w:rsidR="0068351F">
        <w:t xml:space="preserve"> (Medical knowledge)</w:t>
      </w:r>
      <w:r>
        <w:t xml:space="preserve">. </w:t>
      </w:r>
    </w:p>
    <w:p w14:paraId="2EBCECF5" w14:textId="33140B64" w:rsidR="000F7936" w:rsidRDefault="000F7936" w:rsidP="000F7936">
      <w:pPr>
        <w:pStyle w:val="NoSpacing"/>
        <w:numPr>
          <w:ilvl w:val="0"/>
          <w:numId w:val="8"/>
        </w:numPr>
      </w:pPr>
      <w:r>
        <w:t>Recognize common adverse events related to the different classes of anti-hypertensive medications</w:t>
      </w:r>
      <w:r w:rsidR="0068351F">
        <w:t xml:space="preserve"> (Medical Knowledge)</w:t>
      </w:r>
      <w:r>
        <w:t xml:space="preserve">. </w:t>
      </w:r>
    </w:p>
    <w:p w14:paraId="0CCE00AA" w14:textId="77777777" w:rsidR="00004D34" w:rsidRDefault="00004D34" w:rsidP="00004D34">
      <w:pPr>
        <w:pStyle w:val="NoSpacing"/>
      </w:pPr>
    </w:p>
    <w:p w14:paraId="1E10FB5A" w14:textId="77777777" w:rsidR="0068351F" w:rsidRDefault="0068351F" w:rsidP="00004D34">
      <w:pPr>
        <w:pStyle w:val="NoSpacing"/>
      </w:pPr>
    </w:p>
    <w:p w14:paraId="57707419" w14:textId="0C876099" w:rsidR="00004D34" w:rsidRDefault="00004D34" w:rsidP="00004D34">
      <w:pPr>
        <w:pStyle w:val="NoSpacing"/>
      </w:pPr>
      <w:r>
        <w:t>Objectives should be organized by core competencies:</w:t>
      </w:r>
    </w:p>
    <w:p w14:paraId="03540487" w14:textId="493E6B49" w:rsidR="00004D34" w:rsidRDefault="00004D34" w:rsidP="00004D34">
      <w:pPr>
        <w:pStyle w:val="NoSpacing"/>
      </w:pPr>
    </w:p>
    <w:p w14:paraId="47E0F15F" w14:textId="17DADD31" w:rsidR="008E3FD4" w:rsidRDefault="00004D34" w:rsidP="008E3FD4">
      <w:pPr>
        <w:pStyle w:val="NoSpacing"/>
      </w:pPr>
      <w:r>
        <w:t>Patient Care</w:t>
      </w:r>
    </w:p>
    <w:p w14:paraId="11D02F39" w14:textId="234DBEFF" w:rsidR="00004D34" w:rsidRDefault="00004D34" w:rsidP="008E3FD4">
      <w:pPr>
        <w:pStyle w:val="NoSpacing"/>
      </w:pPr>
      <w:r>
        <w:t>Medical Knowledge</w:t>
      </w:r>
    </w:p>
    <w:p w14:paraId="77C4EB24" w14:textId="78A4F056" w:rsidR="00004D34" w:rsidRDefault="00004D34" w:rsidP="008E3FD4">
      <w:pPr>
        <w:pStyle w:val="NoSpacing"/>
      </w:pPr>
      <w:r>
        <w:t>Interpersonal and Communication Skills</w:t>
      </w:r>
    </w:p>
    <w:p w14:paraId="22B6AC57" w14:textId="6AA4F9D1" w:rsidR="00004D34" w:rsidRDefault="00004D34" w:rsidP="008E3FD4">
      <w:pPr>
        <w:pStyle w:val="NoSpacing"/>
      </w:pPr>
      <w:r>
        <w:t>Professionalism</w:t>
      </w:r>
    </w:p>
    <w:p w14:paraId="57EE6E6B" w14:textId="5610BA64" w:rsidR="00004D34" w:rsidRDefault="00004D34" w:rsidP="008E3FD4">
      <w:pPr>
        <w:pStyle w:val="NoSpacing"/>
      </w:pPr>
      <w:r>
        <w:t>Systems based practice</w:t>
      </w:r>
    </w:p>
    <w:p w14:paraId="60719D3D" w14:textId="6FBB26EC" w:rsidR="00004D34" w:rsidRDefault="00004D34" w:rsidP="008E3FD4">
      <w:pPr>
        <w:pStyle w:val="NoSpacing"/>
      </w:pPr>
      <w:r>
        <w:t>Practice-based learning and improvement</w:t>
      </w:r>
    </w:p>
    <w:p w14:paraId="68B04FFE" w14:textId="77777777" w:rsidR="008E3FD4" w:rsidRDefault="008E3FD4" w:rsidP="00004D34">
      <w:pPr>
        <w:pStyle w:val="NoSpacing"/>
        <w:rPr>
          <w:b/>
          <w:bCs/>
          <w:u w:val="single"/>
        </w:rPr>
      </w:pPr>
    </w:p>
    <w:p w14:paraId="79D10C64" w14:textId="4886712B" w:rsidR="00004D34" w:rsidRPr="001C6CEA" w:rsidRDefault="001C6CEA" w:rsidP="00004D34">
      <w:pPr>
        <w:pStyle w:val="NoSpacing"/>
        <w:rPr>
          <w:b/>
          <w:bCs/>
          <w:u w:val="single"/>
        </w:rPr>
      </w:pPr>
      <w:r w:rsidRPr="001C6CEA">
        <w:rPr>
          <w:b/>
          <w:bCs/>
          <w:u w:val="single"/>
        </w:rPr>
        <w:t>Educational Strategies:</w:t>
      </w:r>
    </w:p>
    <w:p w14:paraId="1DD18040" w14:textId="0931EB2C" w:rsidR="001C6CEA" w:rsidRDefault="001C6CEA" w:rsidP="00004D34">
      <w:pPr>
        <w:pStyle w:val="NoSpacing"/>
      </w:pPr>
    </w:p>
    <w:tbl>
      <w:tblPr>
        <w:tblStyle w:val="TableGrid"/>
        <w:tblW w:w="0" w:type="auto"/>
        <w:tblLook w:val="04A0" w:firstRow="1" w:lastRow="0" w:firstColumn="1" w:lastColumn="0" w:noHBand="0" w:noVBand="1"/>
      </w:tblPr>
      <w:tblGrid>
        <w:gridCol w:w="2875"/>
        <w:gridCol w:w="7915"/>
      </w:tblGrid>
      <w:tr w:rsidR="001C6CEA" w14:paraId="3F21F74A" w14:textId="77777777" w:rsidTr="001C6CEA">
        <w:tc>
          <w:tcPr>
            <w:tcW w:w="2875" w:type="dxa"/>
            <w:shd w:val="clear" w:color="auto" w:fill="BFBFBF" w:themeFill="background1" w:themeFillShade="BF"/>
          </w:tcPr>
          <w:p w14:paraId="04D7ED54" w14:textId="52D76912" w:rsidR="001C6CEA" w:rsidRDefault="001C6CEA" w:rsidP="00004D34">
            <w:pPr>
              <w:pStyle w:val="NoSpacing"/>
            </w:pPr>
            <w:r>
              <w:t>Educational Strategy</w:t>
            </w:r>
          </w:p>
        </w:tc>
        <w:tc>
          <w:tcPr>
            <w:tcW w:w="7915" w:type="dxa"/>
            <w:shd w:val="clear" w:color="auto" w:fill="BFBFBF" w:themeFill="background1" w:themeFillShade="BF"/>
          </w:tcPr>
          <w:p w14:paraId="6AB865B0" w14:textId="2C13856B" w:rsidR="001C6CEA" w:rsidRDefault="001C6CEA" w:rsidP="00004D34">
            <w:pPr>
              <w:pStyle w:val="NoSpacing"/>
            </w:pPr>
            <w:r>
              <w:t>Skills (taught and/or assessed)</w:t>
            </w:r>
          </w:p>
        </w:tc>
      </w:tr>
      <w:tr w:rsidR="001C6CEA" w14:paraId="0E0F9B5A" w14:textId="77777777" w:rsidTr="001C6CEA">
        <w:tc>
          <w:tcPr>
            <w:tcW w:w="2875" w:type="dxa"/>
          </w:tcPr>
          <w:p w14:paraId="1518B05F" w14:textId="2A535B45" w:rsidR="001C6CEA" w:rsidRDefault="001E26D8" w:rsidP="00004D34">
            <w:pPr>
              <w:pStyle w:val="NoSpacing"/>
            </w:pPr>
            <w:r>
              <w:rPr>
                <w:i/>
                <w:iCs/>
              </w:rPr>
              <w:t xml:space="preserve">Bedside rounds  </w:t>
            </w:r>
          </w:p>
        </w:tc>
        <w:tc>
          <w:tcPr>
            <w:tcW w:w="7915" w:type="dxa"/>
          </w:tcPr>
          <w:p w14:paraId="07BE0F79" w14:textId="521E7DB3" w:rsidR="001C6CEA" w:rsidRDefault="001C6CEA" w:rsidP="00004D34">
            <w:pPr>
              <w:pStyle w:val="NoSpacing"/>
            </w:pPr>
            <w:r>
              <w:t>Clinical Reasoning</w:t>
            </w:r>
          </w:p>
          <w:p w14:paraId="1D66BFA8" w14:textId="77777777" w:rsidR="001C6CEA" w:rsidRDefault="001C6CEA" w:rsidP="00004D34">
            <w:pPr>
              <w:pStyle w:val="NoSpacing"/>
            </w:pPr>
            <w:r>
              <w:t>Presentation skills</w:t>
            </w:r>
          </w:p>
          <w:p w14:paraId="6F32E1DC" w14:textId="0998B727" w:rsidR="001C6CEA" w:rsidRDefault="001C6CEA" w:rsidP="00004D34">
            <w:pPr>
              <w:pStyle w:val="NoSpacing"/>
            </w:pPr>
            <w:r>
              <w:t>Cardiac auscultation</w:t>
            </w:r>
          </w:p>
        </w:tc>
      </w:tr>
      <w:tr w:rsidR="001C6CEA" w14:paraId="2B17695E" w14:textId="77777777" w:rsidTr="001C6CEA">
        <w:tc>
          <w:tcPr>
            <w:tcW w:w="2875" w:type="dxa"/>
          </w:tcPr>
          <w:p w14:paraId="07C78ADD" w14:textId="4EE5476D" w:rsidR="001C6CEA" w:rsidRDefault="0068351F" w:rsidP="00004D34">
            <w:pPr>
              <w:pStyle w:val="NoSpacing"/>
            </w:pPr>
            <w:r>
              <w:t xml:space="preserve">Journal club </w:t>
            </w:r>
          </w:p>
        </w:tc>
        <w:tc>
          <w:tcPr>
            <w:tcW w:w="7915" w:type="dxa"/>
          </w:tcPr>
          <w:p w14:paraId="0D26F87C" w14:textId="000A2809" w:rsidR="001C6CEA" w:rsidRDefault="0068351F" w:rsidP="00004D34">
            <w:pPr>
              <w:pStyle w:val="NoSpacing"/>
            </w:pPr>
            <w:r>
              <w:t xml:space="preserve">Critical appraisal of the medical literature </w:t>
            </w:r>
          </w:p>
        </w:tc>
      </w:tr>
      <w:tr w:rsidR="001C6CEA" w14:paraId="4CA9C625" w14:textId="77777777" w:rsidTr="001C6CEA">
        <w:tc>
          <w:tcPr>
            <w:tcW w:w="2875" w:type="dxa"/>
          </w:tcPr>
          <w:p w14:paraId="3C31F717" w14:textId="1DCE0B00" w:rsidR="001C6CEA" w:rsidRDefault="0068351F" w:rsidP="00004D34">
            <w:pPr>
              <w:pStyle w:val="NoSpacing"/>
            </w:pPr>
            <w:r>
              <w:t xml:space="preserve">Case-based small group discussions </w:t>
            </w:r>
          </w:p>
        </w:tc>
        <w:tc>
          <w:tcPr>
            <w:tcW w:w="7915" w:type="dxa"/>
          </w:tcPr>
          <w:p w14:paraId="0F5F5BC4" w14:textId="77777777" w:rsidR="001C6CEA" w:rsidRDefault="00466276" w:rsidP="00004D34">
            <w:pPr>
              <w:pStyle w:val="NoSpacing"/>
            </w:pPr>
            <w:r>
              <w:t xml:space="preserve">Critical reasoning </w:t>
            </w:r>
          </w:p>
          <w:p w14:paraId="63E1132E" w14:textId="4DF4682A" w:rsidR="00466276" w:rsidRDefault="00466276" w:rsidP="00004D34">
            <w:pPr>
              <w:pStyle w:val="NoSpacing"/>
            </w:pPr>
            <w:r>
              <w:t xml:space="preserve">Communication </w:t>
            </w:r>
          </w:p>
        </w:tc>
      </w:tr>
    </w:tbl>
    <w:p w14:paraId="5B17BB3E" w14:textId="77777777" w:rsidR="001C6CEA" w:rsidRDefault="001C6CEA" w:rsidP="00004D34">
      <w:pPr>
        <w:pStyle w:val="NoSpacing"/>
      </w:pPr>
    </w:p>
    <w:p w14:paraId="08766594" w14:textId="4E8837AD" w:rsidR="00004D34" w:rsidRPr="00004D34" w:rsidRDefault="00004D34" w:rsidP="00004D34">
      <w:pPr>
        <w:pStyle w:val="NoSpacing"/>
        <w:rPr>
          <w:b/>
          <w:bCs/>
          <w:u w:val="single"/>
        </w:rPr>
      </w:pPr>
      <w:r w:rsidRPr="00004D34">
        <w:rPr>
          <w:b/>
          <w:bCs/>
          <w:u w:val="single"/>
        </w:rPr>
        <w:t>Required Reading:</w:t>
      </w:r>
    </w:p>
    <w:p w14:paraId="7326C29B" w14:textId="443E9E4F" w:rsidR="007F0FED" w:rsidRDefault="00EE06E2" w:rsidP="00466276">
      <w:pPr>
        <w:pStyle w:val="NoSpacing"/>
        <w:numPr>
          <w:ilvl w:val="0"/>
          <w:numId w:val="9"/>
        </w:numPr>
      </w:pPr>
      <w:hyperlink r:id="rId5" w:history="1">
        <w:r w:rsidR="007F0FED" w:rsidRPr="007F0FED">
          <w:rPr>
            <w:rStyle w:val="Hyperlink"/>
          </w:rPr>
          <w:t>Summary of SPRINT Trial</w:t>
        </w:r>
      </w:hyperlink>
      <w:r w:rsidR="007F0FED">
        <w:t xml:space="preserve"> </w:t>
      </w:r>
    </w:p>
    <w:p w14:paraId="314C11BE" w14:textId="2F31437B" w:rsidR="00466276" w:rsidRDefault="00EE06E2" w:rsidP="00466276">
      <w:pPr>
        <w:pStyle w:val="NoSpacing"/>
        <w:numPr>
          <w:ilvl w:val="0"/>
          <w:numId w:val="9"/>
        </w:numPr>
      </w:pPr>
      <w:hyperlink r:id="rId6" w:history="1">
        <w:r w:rsidR="00466276" w:rsidRPr="007F0FED">
          <w:rPr>
            <w:rStyle w:val="Hyperlink"/>
          </w:rPr>
          <w:t>JNC 8 Guidelines</w:t>
        </w:r>
      </w:hyperlink>
      <w:r w:rsidR="00466276">
        <w:t xml:space="preserve"> </w:t>
      </w:r>
    </w:p>
    <w:p w14:paraId="0FF687B3" w14:textId="4592F5E1" w:rsidR="00466276" w:rsidRDefault="00EE06E2" w:rsidP="00466276">
      <w:pPr>
        <w:pStyle w:val="NoSpacing"/>
        <w:numPr>
          <w:ilvl w:val="0"/>
          <w:numId w:val="9"/>
        </w:numPr>
      </w:pPr>
      <w:hyperlink r:id="rId7" w:history="1">
        <w:r w:rsidR="00466276" w:rsidRPr="00466276">
          <w:rPr>
            <w:rStyle w:val="Hyperlink"/>
          </w:rPr>
          <w:t>KDIGO 2021 Blood Pressure Guidelines</w:t>
        </w:r>
      </w:hyperlink>
      <w:r w:rsidR="00466276">
        <w:t xml:space="preserve"> </w:t>
      </w:r>
    </w:p>
    <w:p w14:paraId="07A772BB" w14:textId="5CE3F644" w:rsidR="00004D34" w:rsidRPr="00004D34" w:rsidRDefault="00004D34" w:rsidP="00004D34">
      <w:pPr>
        <w:pStyle w:val="NoSpacing"/>
        <w:rPr>
          <w:b/>
          <w:bCs/>
          <w:u w:val="single"/>
        </w:rPr>
      </w:pPr>
      <w:r w:rsidRPr="00004D34">
        <w:rPr>
          <w:b/>
          <w:bCs/>
          <w:u w:val="single"/>
        </w:rPr>
        <w:t>Suggested Reading and/or Resources:</w:t>
      </w:r>
    </w:p>
    <w:p w14:paraId="6DAE6210" w14:textId="19F63E5C" w:rsidR="00A13124" w:rsidRDefault="00EE06E2" w:rsidP="007F0FED">
      <w:pPr>
        <w:pStyle w:val="NoSpacing"/>
        <w:numPr>
          <w:ilvl w:val="0"/>
          <w:numId w:val="10"/>
        </w:numPr>
      </w:pPr>
      <w:hyperlink r:id="rId8" w:history="1">
        <w:r w:rsidR="00A13124" w:rsidRPr="00A13124">
          <w:rPr>
            <w:rStyle w:val="Hyperlink"/>
          </w:rPr>
          <w:t>Role of sodium handling on hypertension (NEJM Article)</w:t>
        </w:r>
      </w:hyperlink>
      <w:r w:rsidR="00A13124">
        <w:t xml:space="preserve"> </w:t>
      </w:r>
    </w:p>
    <w:p w14:paraId="16C2FF01" w14:textId="05F1FADA" w:rsidR="00466276" w:rsidRDefault="00EE06E2" w:rsidP="007F0FED">
      <w:pPr>
        <w:pStyle w:val="NoSpacing"/>
        <w:numPr>
          <w:ilvl w:val="0"/>
          <w:numId w:val="10"/>
        </w:numPr>
      </w:pPr>
      <w:hyperlink r:id="rId9" w:history="1">
        <w:r w:rsidR="00466276" w:rsidRPr="00466276">
          <w:rPr>
            <w:rStyle w:val="Hyperlink"/>
          </w:rPr>
          <w:t>ACCORD Trial</w:t>
        </w:r>
      </w:hyperlink>
      <w:r w:rsidR="00466276">
        <w:t xml:space="preserve"> </w:t>
      </w:r>
    </w:p>
    <w:p w14:paraId="65EB6502" w14:textId="77777777" w:rsidR="00004D34" w:rsidRDefault="00004D34" w:rsidP="00004D34">
      <w:pPr>
        <w:pStyle w:val="NoSpacing"/>
      </w:pPr>
    </w:p>
    <w:p w14:paraId="329F837C" w14:textId="2C83F6FA" w:rsidR="00D90081" w:rsidRDefault="00D90081" w:rsidP="001440DA">
      <w:pPr>
        <w:pStyle w:val="NoSpacing"/>
      </w:pPr>
    </w:p>
    <w:p w14:paraId="1C393D84" w14:textId="77777777" w:rsidR="008E3FD4" w:rsidRDefault="008E3FD4">
      <w:pPr>
        <w:rPr>
          <w:b/>
          <w:bCs/>
          <w:u w:val="single"/>
        </w:rPr>
      </w:pPr>
      <w:r>
        <w:rPr>
          <w:b/>
          <w:bCs/>
          <w:u w:val="single"/>
        </w:rPr>
        <w:br w:type="page"/>
      </w:r>
    </w:p>
    <w:p w14:paraId="5DA6A0DF" w14:textId="1B72BFEA" w:rsidR="00D90081" w:rsidRPr="008E3FD4" w:rsidRDefault="008E3FD4" w:rsidP="001440DA">
      <w:pPr>
        <w:pStyle w:val="NoSpacing"/>
        <w:rPr>
          <w:b/>
          <w:bCs/>
          <w:u w:val="single"/>
        </w:rPr>
      </w:pPr>
      <w:r w:rsidRPr="008E3FD4">
        <w:rPr>
          <w:b/>
          <w:bCs/>
          <w:u w:val="single"/>
        </w:rPr>
        <w:lastRenderedPageBreak/>
        <w:t>Evaluation:</w:t>
      </w:r>
    </w:p>
    <w:p w14:paraId="5A6A2777" w14:textId="6507AFFB" w:rsidR="00D90081" w:rsidRDefault="008E3FD4" w:rsidP="001440DA">
      <w:pPr>
        <w:pStyle w:val="NoSpacing"/>
      </w:pPr>
      <w:r>
        <w:t>(Ideally, the evaluation items below resemble the learning objectives above)</w:t>
      </w:r>
    </w:p>
    <w:p w14:paraId="2FFF9EEB" w14:textId="77777777" w:rsidR="008E3FD4" w:rsidRDefault="008E3FD4" w:rsidP="001440DA">
      <w:pPr>
        <w:pStyle w:val="NoSpacing"/>
      </w:pPr>
    </w:p>
    <w:p w14:paraId="3291941B" w14:textId="77777777" w:rsidR="008E3FD4" w:rsidRDefault="008E3FD4" w:rsidP="008E3FD4">
      <w:pPr>
        <w:pStyle w:val="NoSpacing"/>
        <w:rPr>
          <w:rFonts w:cs="Arial"/>
        </w:rPr>
      </w:pPr>
      <w:r>
        <w:rPr>
          <w:rFonts w:cs="Arial"/>
        </w:rPr>
        <w:t>Assessment Form:</w:t>
      </w:r>
    </w:p>
    <w:p w14:paraId="15EBA8FA" w14:textId="77777777" w:rsidR="008E3FD4" w:rsidRDefault="008E3FD4" w:rsidP="008E3FD4">
      <w:pPr>
        <w:pStyle w:val="NoSpacing"/>
        <w:rPr>
          <w:rFonts w:cs="Arial"/>
        </w:rPr>
      </w:pPr>
    </w:p>
    <w:p w14:paraId="0CBE3825" w14:textId="72E4A921" w:rsidR="008E3FD4" w:rsidRDefault="008E3FD4" w:rsidP="008E3FD4">
      <w:pPr>
        <w:pStyle w:val="NoSpacing"/>
        <w:numPr>
          <w:ilvl w:val="0"/>
          <w:numId w:val="7"/>
        </w:numPr>
        <w:rPr>
          <w:rFonts w:cs="Arial"/>
        </w:rPr>
      </w:pPr>
      <w:r>
        <w:rPr>
          <w:rFonts w:cs="Arial"/>
        </w:rPr>
        <w:t xml:space="preserve">Please identify 3 skills you observed the </w:t>
      </w:r>
      <w:r w:rsidR="00466276">
        <w:rPr>
          <w:rFonts w:cs="Arial"/>
        </w:rPr>
        <w:t>learner</w:t>
      </w:r>
      <w:r>
        <w:rPr>
          <w:rFonts w:cs="Arial"/>
        </w:rPr>
        <w:t xml:space="preserve"> do well</w:t>
      </w:r>
      <w:r w:rsidR="00E24151">
        <w:rPr>
          <w:rFonts w:cs="Arial"/>
        </w:rPr>
        <w:t>.</w:t>
      </w:r>
    </w:p>
    <w:p w14:paraId="493942E3" w14:textId="77777777" w:rsidR="00E24151" w:rsidRDefault="00E24151" w:rsidP="007C563B">
      <w:pPr>
        <w:pStyle w:val="NoSpacing"/>
        <w:ind w:left="360"/>
        <w:rPr>
          <w:rFonts w:cs="Arial"/>
        </w:rPr>
      </w:pPr>
    </w:p>
    <w:p w14:paraId="787C9531" w14:textId="1ABD186D" w:rsidR="008E3FD4" w:rsidRDefault="008E3FD4" w:rsidP="008E3FD4">
      <w:pPr>
        <w:pStyle w:val="NoSpacing"/>
        <w:numPr>
          <w:ilvl w:val="0"/>
          <w:numId w:val="7"/>
        </w:numPr>
        <w:rPr>
          <w:rFonts w:cs="Arial"/>
        </w:rPr>
      </w:pPr>
      <w:r>
        <w:rPr>
          <w:rFonts w:cs="Arial"/>
        </w:rPr>
        <w:t xml:space="preserve">Please identify 3 skills the </w:t>
      </w:r>
      <w:r w:rsidR="00466276">
        <w:rPr>
          <w:rFonts w:cs="Arial"/>
        </w:rPr>
        <w:t>learner</w:t>
      </w:r>
      <w:r>
        <w:rPr>
          <w:rFonts w:cs="Arial"/>
        </w:rPr>
        <w:t xml:space="preserve"> needs to improve or should do differently. How should they do it differently? </w:t>
      </w:r>
    </w:p>
    <w:p w14:paraId="5E746A04" w14:textId="274E2227" w:rsidR="008E3FD4" w:rsidRDefault="008E3FD4" w:rsidP="008E3FD4">
      <w:pPr>
        <w:pStyle w:val="NoSpacing"/>
        <w:rPr>
          <w:rFonts w:cs="Arial"/>
        </w:rPr>
      </w:pPr>
    </w:p>
    <w:p w14:paraId="7B80FF91" w14:textId="0216EF31" w:rsidR="009E3020" w:rsidRDefault="009E3020" w:rsidP="008E3FD4">
      <w:pPr>
        <w:pStyle w:val="NoSpacing"/>
        <w:rPr>
          <w:rFonts w:cs="Arial"/>
        </w:rPr>
      </w:pPr>
      <w:r>
        <w:rPr>
          <w:rFonts w:cs="Arial"/>
        </w:rPr>
        <w:t xml:space="preserve">(Ideally, limit to 8-10 skills that you ask </w:t>
      </w:r>
      <w:r w:rsidR="007A37BD">
        <w:rPr>
          <w:rFonts w:cs="Arial"/>
        </w:rPr>
        <w:t xml:space="preserve">your </w:t>
      </w:r>
      <w:r>
        <w:rPr>
          <w:rFonts w:cs="Arial"/>
        </w:rPr>
        <w:t>faculty to assess)</w:t>
      </w:r>
    </w:p>
    <w:p w14:paraId="331406FA" w14:textId="77777777" w:rsidR="008E3FD4" w:rsidRDefault="008E3FD4" w:rsidP="008E3FD4">
      <w:pPr>
        <w:pStyle w:val="NoSpacing"/>
        <w:rPr>
          <w:rFonts w:cs="Arial"/>
        </w:rPr>
      </w:pPr>
      <w:r>
        <w:rPr>
          <w:rFonts w:cs="Arial"/>
        </w:rPr>
        <w:t>For the remaining items, please rate 1-5 (or did not observe):</w:t>
      </w:r>
    </w:p>
    <w:p w14:paraId="225C7166" w14:textId="77777777" w:rsidR="008E3FD4" w:rsidRDefault="008E3FD4" w:rsidP="008E3FD4">
      <w:pPr>
        <w:pStyle w:val="NoSpacing"/>
        <w:ind w:left="720"/>
        <w:rPr>
          <w:rFonts w:cs="Arial"/>
        </w:rPr>
      </w:pPr>
      <w:r>
        <w:rPr>
          <w:rFonts w:cs="Arial"/>
        </w:rPr>
        <w:t>1 = cannot do this skill</w:t>
      </w:r>
    </w:p>
    <w:p w14:paraId="4F7721F5" w14:textId="2D31361A" w:rsidR="008E3FD4" w:rsidRDefault="008E3FD4" w:rsidP="008E3FD4">
      <w:pPr>
        <w:pStyle w:val="NoSpacing"/>
        <w:ind w:left="720"/>
        <w:rPr>
          <w:rFonts w:cs="Arial"/>
        </w:rPr>
      </w:pPr>
      <w:r>
        <w:rPr>
          <w:rFonts w:cs="Arial"/>
        </w:rPr>
        <w:t>2 = can do this skill only with direct supervision (some needs to be there to supervise)</w:t>
      </w:r>
    </w:p>
    <w:p w14:paraId="285E8DEB" w14:textId="57B99B15" w:rsidR="008E3FD4" w:rsidRDefault="008E3FD4" w:rsidP="008E3FD4">
      <w:pPr>
        <w:pStyle w:val="NoSpacing"/>
        <w:ind w:left="720"/>
        <w:rPr>
          <w:rFonts w:cs="Arial"/>
        </w:rPr>
      </w:pPr>
      <w:r>
        <w:rPr>
          <w:rFonts w:cs="Arial"/>
        </w:rPr>
        <w:t>3 = can do this skill with indirect supervision (an attending or fellow is close by or available by phone)</w:t>
      </w:r>
    </w:p>
    <w:p w14:paraId="4E774903" w14:textId="2DAEDEB6" w:rsidR="008E3FD4" w:rsidRDefault="008E3FD4" w:rsidP="008E3FD4">
      <w:pPr>
        <w:pStyle w:val="NoSpacing"/>
        <w:ind w:left="720"/>
        <w:rPr>
          <w:rFonts w:cs="Arial"/>
        </w:rPr>
      </w:pPr>
      <w:r>
        <w:rPr>
          <w:rFonts w:cs="Arial"/>
        </w:rPr>
        <w:t>4 = can do this skill unsupervised (they are ready to graduate for this skill)</w:t>
      </w:r>
    </w:p>
    <w:p w14:paraId="5138CD5C" w14:textId="0DA97A6C" w:rsidR="008E3FD4" w:rsidRDefault="008E3FD4" w:rsidP="008E3FD4">
      <w:pPr>
        <w:pStyle w:val="NoSpacing"/>
        <w:ind w:left="720"/>
        <w:rPr>
          <w:rFonts w:cs="Arial"/>
        </w:rPr>
      </w:pPr>
      <w:r>
        <w:rPr>
          <w:rFonts w:cs="Arial"/>
        </w:rPr>
        <w:t>5 = has achieved mastery of this skill (They can teach others how to do this skill well)</w:t>
      </w:r>
    </w:p>
    <w:p w14:paraId="0B2B1106" w14:textId="77777777" w:rsidR="008E3FD4" w:rsidRDefault="008E3FD4" w:rsidP="008E3FD4">
      <w:pPr>
        <w:pStyle w:val="NoSpacing"/>
        <w:rPr>
          <w:rFonts w:cs="Arial"/>
        </w:rPr>
      </w:pPr>
    </w:p>
    <w:p w14:paraId="0E38DB6A" w14:textId="75FBA5DC" w:rsidR="008E3FD4" w:rsidRDefault="008E3FD4" w:rsidP="008E3FD4">
      <w:pPr>
        <w:pStyle w:val="NoSpacing"/>
        <w:numPr>
          <w:ilvl w:val="0"/>
          <w:numId w:val="7"/>
        </w:numPr>
        <w:rPr>
          <w:rFonts w:cs="Arial"/>
        </w:rPr>
      </w:pPr>
    </w:p>
    <w:p w14:paraId="14F9146F" w14:textId="445BE4EB" w:rsidR="008E3FD4" w:rsidRDefault="008E3FD4" w:rsidP="001440DA">
      <w:pPr>
        <w:pStyle w:val="NoSpacing"/>
      </w:pPr>
    </w:p>
    <w:p w14:paraId="1469D661" w14:textId="3B51F3E5" w:rsidR="001C2343" w:rsidRDefault="001C2343" w:rsidP="001440DA">
      <w:pPr>
        <w:pStyle w:val="NoSpacing"/>
      </w:pPr>
    </w:p>
    <w:p w14:paraId="52067BEC" w14:textId="5DCCDD81" w:rsidR="001C2343" w:rsidRDefault="001C2343" w:rsidP="001440DA">
      <w:pPr>
        <w:pStyle w:val="NoSpacing"/>
      </w:pPr>
    </w:p>
    <w:p w14:paraId="175A96BA" w14:textId="09551086" w:rsidR="001C2343" w:rsidRDefault="001C2343" w:rsidP="001440DA">
      <w:pPr>
        <w:pStyle w:val="NoSpacing"/>
      </w:pPr>
    </w:p>
    <w:p w14:paraId="1F67ABF0" w14:textId="673BE60F" w:rsidR="001C2343" w:rsidRDefault="001C2343" w:rsidP="001440DA">
      <w:pPr>
        <w:pStyle w:val="NoSpacing"/>
      </w:pPr>
    </w:p>
    <w:p w14:paraId="7FF5BF69" w14:textId="11BD29EA" w:rsidR="001C2343" w:rsidRDefault="001C2343" w:rsidP="001440DA">
      <w:pPr>
        <w:pStyle w:val="NoSpacing"/>
      </w:pPr>
    </w:p>
    <w:p w14:paraId="20FDB8C5" w14:textId="40A63156" w:rsidR="001C2343" w:rsidRDefault="001C2343" w:rsidP="001440DA">
      <w:pPr>
        <w:pStyle w:val="NoSpacing"/>
      </w:pPr>
    </w:p>
    <w:p w14:paraId="42BF8CEE" w14:textId="498E5463" w:rsidR="001C2343" w:rsidRDefault="001C2343" w:rsidP="001440DA">
      <w:pPr>
        <w:pStyle w:val="NoSpacing"/>
      </w:pPr>
    </w:p>
    <w:p w14:paraId="74483034" w14:textId="106E3DB8" w:rsidR="001C2343" w:rsidRDefault="001C2343" w:rsidP="001440DA">
      <w:pPr>
        <w:pStyle w:val="NoSpacing"/>
      </w:pPr>
    </w:p>
    <w:p w14:paraId="70427503" w14:textId="408FE4A2" w:rsidR="001C2343" w:rsidRDefault="001C2343" w:rsidP="001440DA">
      <w:pPr>
        <w:pStyle w:val="NoSpacing"/>
      </w:pPr>
    </w:p>
    <w:p w14:paraId="6B42EE18" w14:textId="01B5075C" w:rsidR="001C2343" w:rsidRDefault="001C2343" w:rsidP="001440DA">
      <w:pPr>
        <w:pStyle w:val="NoSpacing"/>
      </w:pPr>
    </w:p>
    <w:p w14:paraId="18E7F29F" w14:textId="155378F6" w:rsidR="001C2343" w:rsidRDefault="001C2343" w:rsidP="001440DA">
      <w:pPr>
        <w:pStyle w:val="NoSpacing"/>
      </w:pPr>
    </w:p>
    <w:p w14:paraId="3E542C84" w14:textId="3E3C91CE" w:rsidR="001C2343" w:rsidRDefault="001C2343" w:rsidP="001440DA">
      <w:pPr>
        <w:pStyle w:val="NoSpacing"/>
      </w:pPr>
    </w:p>
    <w:p w14:paraId="7FA1F419" w14:textId="031E561A" w:rsidR="001C2343" w:rsidRDefault="001C2343" w:rsidP="001440DA">
      <w:pPr>
        <w:pStyle w:val="NoSpacing"/>
      </w:pPr>
    </w:p>
    <w:p w14:paraId="3DD9D007" w14:textId="680E794E" w:rsidR="001C2343" w:rsidRDefault="001C2343" w:rsidP="001440DA">
      <w:pPr>
        <w:pStyle w:val="NoSpacing"/>
      </w:pPr>
    </w:p>
    <w:p w14:paraId="0E50913C" w14:textId="43E073DA" w:rsidR="001C2343" w:rsidRDefault="001C2343" w:rsidP="001440DA">
      <w:pPr>
        <w:pStyle w:val="NoSpacing"/>
      </w:pPr>
    </w:p>
    <w:p w14:paraId="14C94FDC" w14:textId="0A096059" w:rsidR="001C2343" w:rsidRDefault="001C2343" w:rsidP="001440DA">
      <w:pPr>
        <w:pStyle w:val="NoSpacing"/>
      </w:pPr>
    </w:p>
    <w:p w14:paraId="24C1FD5E" w14:textId="4121BA1E" w:rsidR="001C2343" w:rsidRDefault="001C2343" w:rsidP="001440DA">
      <w:pPr>
        <w:pStyle w:val="NoSpacing"/>
      </w:pPr>
    </w:p>
    <w:p w14:paraId="45EDE8DD" w14:textId="530B4990" w:rsidR="001C2343" w:rsidRDefault="001C2343" w:rsidP="001440DA">
      <w:pPr>
        <w:pStyle w:val="NoSpacing"/>
      </w:pPr>
    </w:p>
    <w:p w14:paraId="73120D00" w14:textId="1689A43A" w:rsidR="001C2343" w:rsidRDefault="001C2343" w:rsidP="001440DA">
      <w:pPr>
        <w:pStyle w:val="NoSpacing"/>
      </w:pPr>
    </w:p>
    <w:p w14:paraId="396DF5D9" w14:textId="4A7D6930" w:rsidR="001C2343" w:rsidRDefault="001C2343" w:rsidP="001440DA">
      <w:pPr>
        <w:pStyle w:val="NoSpacing"/>
      </w:pPr>
    </w:p>
    <w:p w14:paraId="48392ABB" w14:textId="54292F09" w:rsidR="001C2343" w:rsidRDefault="001C2343" w:rsidP="001440DA">
      <w:pPr>
        <w:pStyle w:val="NoSpacing"/>
      </w:pPr>
    </w:p>
    <w:p w14:paraId="4AFE43B6" w14:textId="177875FC" w:rsidR="001C2343" w:rsidRDefault="001C2343" w:rsidP="001440DA">
      <w:pPr>
        <w:pStyle w:val="NoSpacing"/>
      </w:pPr>
    </w:p>
    <w:p w14:paraId="0353085C" w14:textId="237473A9" w:rsidR="001C2343" w:rsidRDefault="001C2343" w:rsidP="001440DA">
      <w:pPr>
        <w:pStyle w:val="NoSpacing"/>
      </w:pPr>
    </w:p>
    <w:p w14:paraId="4585E3C0" w14:textId="3C7F26ED" w:rsidR="001C2343" w:rsidRDefault="001C2343" w:rsidP="001440DA">
      <w:pPr>
        <w:pStyle w:val="NoSpacing"/>
      </w:pPr>
    </w:p>
    <w:p w14:paraId="75051455" w14:textId="5EE9F098" w:rsidR="001C2343" w:rsidRDefault="001C2343" w:rsidP="001440DA">
      <w:pPr>
        <w:pStyle w:val="NoSpacing"/>
      </w:pPr>
    </w:p>
    <w:p w14:paraId="4FBFF0D4" w14:textId="1186C74A" w:rsidR="001C2343" w:rsidRDefault="001C2343" w:rsidP="001440DA">
      <w:pPr>
        <w:pStyle w:val="NoSpacing"/>
      </w:pPr>
    </w:p>
    <w:p w14:paraId="7A98264A" w14:textId="3A01DEDE" w:rsidR="001C2343" w:rsidRDefault="001C2343" w:rsidP="001440DA">
      <w:pPr>
        <w:pStyle w:val="NoSpacing"/>
      </w:pPr>
    </w:p>
    <w:p w14:paraId="74CFB965" w14:textId="60085438" w:rsidR="001C2343" w:rsidRDefault="001C2343" w:rsidP="001440DA">
      <w:pPr>
        <w:pStyle w:val="NoSpacing"/>
      </w:pPr>
    </w:p>
    <w:p w14:paraId="79F66054" w14:textId="2408FEE3" w:rsidR="001C2343" w:rsidRPr="001C2343" w:rsidRDefault="001C2343" w:rsidP="001440DA">
      <w:pPr>
        <w:pStyle w:val="NoSpacing"/>
        <w:rPr>
          <w:i/>
          <w:iCs/>
          <w:sz w:val="20"/>
          <w:szCs w:val="20"/>
        </w:rPr>
      </w:pPr>
      <w:r w:rsidRPr="001C2343">
        <w:rPr>
          <w:i/>
          <w:iCs/>
          <w:sz w:val="20"/>
          <w:szCs w:val="20"/>
        </w:rPr>
        <w:lastRenderedPageBreak/>
        <w:t xml:space="preserve">Created by </w:t>
      </w:r>
      <w:proofErr w:type="spellStart"/>
      <w:r w:rsidRPr="001C2343">
        <w:rPr>
          <w:i/>
          <w:iCs/>
          <w:sz w:val="20"/>
          <w:szCs w:val="20"/>
        </w:rPr>
        <w:t>Moutsios</w:t>
      </w:r>
      <w:proofErr w:type="spellEnd"/>
      <w:r w:rsidRPr="001C2343">
        <w:rPr>
          <w:i/>
          <w:iCs/>
          <w:sz w:val="20"/>
          <w:szCs w:val="20"/>
        </w:rPr>
        <w:t>, S. Jan 2021. Adapted from Thomas P and Kern D.  Curriculum Development for Medical Education: A Six Step Approach. Johns Hopkins Press. Baltimore, MD. January 29, 2016. 3</w:t>
      </w:r>
      <w:r w:rsidRPr="001C2343">
        <w:rPr>
          <w:i/>
          <w:iCs/>
          <w:sz w:val="20"/>
          <w:szCs w:val="20"/>
          <w:vertAlign w:val="superscript"/>
        </w:rPr>
        <w:t>rd</w:t>
      </w:r>
      <w:r w:rsidRPr="001C2343">
        <w:rPr>
          <w:i/>
          <w:iCs/>
          <w:sz w:val="20"/>
          <w:szCs w:val="20"/>
        </w:rPr>
        <w:t xml:space="preserve"> Ed. </w:t>
      </w:r>
    </w:p>
    <w:sectPr w:rsidR="001C2343" w:rsidRPr="001C2343" w:rsidSect="001440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F35"/>
    <w:multiLevelType w:val="hybridMultilevel"/>
    <w:tmpl w:val="6460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B5931"/>
    <w:multiLevelType w:val="hybridMultilevel"/>
    <w:tmpl w:val="01743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849F5"/>
    <w:multiLevelType w:val="hybridMultilevel"/>
    <w:tmpl w:val="054C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241F3"/>
    <w:multiLevelType w:val="hybridMultilevel"/>
    <w:tmpl w:val="AA44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4060E"/>
    <w:multiLevelType w:val="hybridMultilevel"/>
    <w:tmpl w:val="8B14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53487"/>
    <w:multiLevelType w:val="hybridMultilevel"/>
    <w:tmpl w:val="BA10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84420"/>
    <w:multiLevelType w:val="hybridMultilevel"/>
    <w:tmpl w:val="1DF6F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D4923"/>
    <w:multiLevelType w:val="hybridMultilevel"/>
    <w:tmpl w:val="27D8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B046B"/>
    <w:multiLevelType w:val="hybridMultilevel"/>
    <w:tmpl w:val="442A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26460"/>
    <w:multiLevelType w:val="hybridMultilevel"/>
    <w:tmpl w:val="ED1E1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0"/>
  </w:num>
  <w:num w:numId="5">
    <w:abstractNumId w:val="4"/>
  </w:num>
  <w:num w:numId="6">
    <w:abstractNumId w:val="2"/>
  </w:num>
  <w:num w:numId="7">
    <w:abstractNumId w:val="6"/>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81"/>
    <w:rsid w:val="00004D34"/>
    <w:rsid w:val="000C1F1F"/>
    <w:rsid w:val="000F13B0"/>
    <w:rsid w:val="000F7936"/>
    <w:rsid w:val="001440DA"/>
    <w:rsid w:val="001C2343"/>
    <w:rsid w:val="001C6CEA"/>
    <w:rsid w:val="001E26D8"/>
    <w:rsid w:val="002D3EFE"/>
    <w:rsid w:val="00466276"/>
    <w:rsid w:val="00543A28"/>
    <w:rsid w:val="0068351F"/>
    <w:rsid w:val="007A37BD"/>
    <w:rsid w:val="007B2AA0"/>
    <w:rsid w:val="007C563B"/>
    <w:rsid w:val="007F0FED"/>
    <w:rsid w:val="008E3FD4"/>
    <w:rsid w:val="009E3020"/>
    <w:rsid w:val="00A13124"/>
    <w:rsid w:val="00A93BC0"/>
    <w:rsid w:val="00D90081"/>
    <w:rsid w:val="00E24151"/>
    <w:rsid w:val="00E9348C"/>
    <w:rsid w:val="00EE06E2"/>
    <w:rsid w:val="00F9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91B789"/>
  <w15:chartTrackingRefBased/>
  <w15:docId w15:val="{CAEA17D1-FC75-574B-B783-8F6F366D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40DA"/>
  </w:style>
  <w:style w:type="paragraph" w:styleId="ListParagraph">
    <w:name w:val="List Paragraph"/>
    <w:basedOn w:val="Normal"/>
    <w:uiPriority w:val="34"/>
    <w:qFormat/>
    <w:rsid w:val="00004D34"/>
    <w:pPr>
      <w:ind w:left="720"/>
      <w:contextualSpacing/>
    </w:pPr>
  </w:style>
  <w:style w:type="table" w:styleId="TableGrid">
    <w:name w:val="Table Grid"/>
    <w:basedOn w:val="TableNormal"/>
    <w:uiPriority w:val="39"/>
    <w:rsid w:val="001C6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234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F0FED"/>
    <w:rPr>
      <w:color w:val="0563C1" w:themeColor="hyperlink"/>
      <w:u w:val="single"/>
    </w:rPr>
  </w:style>
  <w:style w:type="character" w:styleId="UnresolvedMention">
    <w:name w:val="Unresolved Mention"/>
    <w:basedOn w:val="DefaultParagraphFont"/>
    <w:uiPriority w:val="99"/>
    <w:semiHidden/>
    <w:unhideWhenUsed/>
    <w:rsid w:val="007F0FED"/>
    <w:rPr>
      <w:color w:val="605E5C"/>
      <w:shd w:val="clear" w:color="auto" w:fill="E1DFDD"/>
    </w:rPr>
  </w:style>
  <w:style w:type="character" w:styleId="FollowedHyperlink">
    <w:name w:val="FollowedHyperlink"/>
    <w:basedOn w:val="DefaultParagraphFont"/>
    <w:uiPriority w:val="99"/>
    <w:semiHidden/>
    <w:unhideWhenUsed/>
    <w:rsid w:val="007F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543857">
      <w:bodyDiv w:val="1"/>
      <w:marLeft w:val="0"/>
      <w:marRight w:val="0"/>
      <w:marTop w:val="0"/>
      <w:marBottom w:val="0"/>
      <w:divBdr>
        <w:top w:val="none" w:sz="0" w:space="0" w:color="auto"/>
        <w:left w:val="none" w:sz="0" w:space="0" w:color="auto"/>
        <w:bottom w:val="none" w:sz="0" w:space="0" w:color="auto"/>
        <w:right w:val="none" w:sz="0" w:space="0" w:color="auto"/>
      </w:divBdr>
    </w:div>
    <w:div w:id="135156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jm.org/doi/10.1056/NEJMra2030212" TargetMode="External"/><Relationship Id="rId3" Type="http://schemas.openxmlformats.org/officeDocument/2006/relationships/settings" Target="settings.xml"/><Relationship Id="rId7" Type="http://schemas.openxmlformats.org/officeDocument/2006/relationships/hyperlink" Target="https://kdigo.org/wp-content/uploads/2016/10/KDIGO-2021-BP-G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cc.org/doi/pdf/10.1016/j.jacc.2017.11.006?_ga=2.141606130.1175560846.1644012009-1385411375.1644012009" TargetMode="External"/><Relationship Id="rId11" Type="http://schemas.openxmlformats.org/officeDocument/2006/relationships/theme" Target="theme/theme1.xml"/><Relationship Id="rId5" Type="http://schemas.openxmlformats.org/officeDocument/2006/relationships/hyperlink" Target="https://www.acc.org/latest-in-cardiology/clinical-trials/2015/09/23/10/40/spri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ejm.org/doi/full/10.1056/nejmoa10012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ndramoutsios/Library/Group%20Containers/UBF8T346G9.Office/User%20Content.localized/Templates.localized/Moutsios_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Moutsios_notes.dotx</Template>
  <TotalTime>1</TotalTime>
  <Pages>4</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Deffendall, Catherine M.</cp:lastModifiedBy>
  <cp:revision>2</cp:revision>
  <cp:lastPrinted>2021-10-20T02:10:00Z</cp:lastPrinted>
  <dcterms:created xsi:type="dcterms:W3CDTF">2022-03-21T13:37:00Z</dcterms:created>
  <dcterms:modified xsi:type="dcterms:W3CDTF">2022-03-21T13:37:00Z</dcterms:modified>
</cp:coreProperties>
</file>